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85 vom 24. November 2021</w:t>
      </w:r>
    </w:p>
    <w:p>
      <w:r>
        <w:t>GR Gerichte, 2021-11-24, DE</w:t>
      </w:r>
    </w:p>
    <w:p>
      <w:r>
        <w:rPr>
          <w:b/>
        </w:rPr>
        <w:t xml:space="preserve">Quelle: </w:t>
      </w:r>
      <w:r>
        <w:t>https://mcp.opencaselaw.ch/entscheid/gr_gerichte_KSK 2021 85</w:t>
      </w:r>
    </w:p>
    <w:p>
      <w:r>
        <w:t>FR: GR_GERICHTE KSK 2021 85 du 24 novembre 2021</w:t>
      </w:r>
    </w:p>
    <w:p>
      <w:r>
        <w:t>IT: GR_GERICHTE KSK 2021 85 del 24 novembre 2021</w:t>
      </w:r>
    </w:p>
    <w:p>
      <w:pPr>
        <w:pStyle w:val="Heading2"/>
      </w:pPr>
      <w:r>
        <w:t>Regeste</w:t>
      </w:r>
    </w:p>
    <w:p>
      <w:r>
        <w:t>Aufhebung Sperrung Bankkonten / betreibungsrechtliches Existenzminimum | Aufsicht Beschwerde (SchKG 17 Abs. 1)</w:t>
      </w:r>
    </w:p>
    <w:p>
      <w:pPr>
        <w:pStyle w:val="Heading2"/>
      </w:pPr>
      <w:r>
        <w:t>Erwägungen</w:t>
      </w:r>
    </w:p>
    <w:p>
      <w:r>
        <w:rPr>
          <w:b/>
        </w:rPr>
        <w:t>E. 4</w:t>
      </w:r>
    </w:p>
    <w:p>
      <w:r>
        <w:t>/ 6 Pfändungsvollzug des Betreibungsamtes Plessur vom 1. Oktober 2021 sowie die darauf gestützt ergangene Anzeige an die Bank_____ wegen Verletzung der Be- stimmungen über das pfändbare Einkommen beanstandet (act. B.2). Dabei han- delt es sich allerdings nicht um eine an den Beschwerdeführer adressierte Verfü- gung. Es ist auch nicht dargelegt, zu welchem Zeitpunkt der Beschwerdeführer Kenntnis von der Sicherungsmassnahme erlangt hat und ob die Eingabe an das Verwaltungsgericht überhaupt innert der Beschwerdefrist von zehn Tagen erfolgt ist. Dies kann offenbleiben, da keine rechtswidrige oder unangemessene Betrei- bungshandlung des Betreibungsamts Plessur erkennbar ist, wie nachfolgend dar- gelegt wird. 2.1. Die Anzeige an die Bank_____ vom 1. Oktober 2021 erfolgte aufgrund ei- ner dringlichen und vorsorglichen Sicherungsmassnahme infolge Pfändungsvoll- zugs. Der Zweck einer Sicherungsmassnahme nach Art. 98 ff. SchKG liegt in der Erhaltung der Vermögenswerte des Schuldners und im Entgegenwirken bei Ge- fährdung der Gläubigerrechte. Sie kann bei Dringlichkeit schon vor dem Pfän- dungsvollzug erfolgen und es können dringliche Massnahmen getroffen werden. Aufgrund des Eingriffs in die Stellung des Schuldners sind an die besondere Dringlichkeit erhöhte Anforderungen zu stellen (Roger Schlegel/Markus Zopfi, in: Kren Kostkiewicz/Vock [Hrsg.], Kommentar zum Bundesgesetz über Schuldbetrei- bung und Konkurs, 4. Aufl. 2017 N 3 zu Art. 99 SchKG; BGer 5A_616/2017 v. 14.3.2018 E. 6). Eine Dringlichkeit ist dann etwa gegeben, wenn sich der Schuld- ner im Rahmen einer anstehenden Pfändung permanent und wiederholt dem Zu- griff der Vollstreckungsbehörden entzieht und somit eine Pfändung verunmöglicht, obwohl es ihm nach objektiven Kriterien möglich gewesen wäre, dem Pfändungs- vollzug beizuwohnen. Diesfalls lässt sich auch die vorsorgliche Sperrung des ge- samten Lohnes/Einkommens und/oder eines bekannten Bankkontos rechtfertigen (Schlegel/Zopfi, a.a.O., N 3 zu Art. 99 SchKG). Dem Schuldner ist in diesem Fall rückwirkend wenigstens das Existenzminimum zuzugestehen. Der an die vorsorg- liche Massnahme anschliessende Pfändungsvollzug oder die Aufhebung dersel- ben ist den Beteiligten mitzuteilen. 2.2. Vorliegend ist aus den Akten ersichtlich, dass sich der Beschwerdeführer der Pfändung mehrfach entzogen hat und selbst die polizeiliche Zuführung nicht gelungen ist. Es ist geradezu offensichtlich, dass der Beschwerdeführer die in Art. 91 SchKG statuierte Mitwirkungspflicht des Schuldners verletzt hat. Unter die- sen Umständen erscheinen die vom Betreibungsamt Plessur angeordneten dring- lichen vorsorglichen Sicherungsmassnahmen durch Sperrung von Bankkonti we- der rechtswidrig noch unangemessen. Solange der Beschwerdeführer seine Mit-</w:t>
      </w:r>
    </w:p>
    <w:p>
      <w:r>
        <w:rPr>
          <w:b/>
        </w:rPr>
        <w:t>E. 5</w:t>
      </w:r>
    </w:p>
    <w:p>
      <w:r>
        <w:t>Da sich die Beschwerde als offensichtlich unzulässig erweist, ergeht der vorliegende Entscheid in einzelrichterlicher Kompetenz (Art. 18 Abs. 3 GOG [BR 173.000]; Art. 11 Abs. 2 KGV).</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